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A90DDD" w:rsidRDefault="00A41CF7">
      <w:pPr>
        <w:spacing w:before="200" w:after="200" w:line="360" w:lineRule="auto"/>
        <w:jc w:val="center"/>
        <w:rPr>
          <w:rFonts w:ascii="Times New Roman" w:eastAsia="Times New Roman" w:hAnsi="Times New Roman" w:cs="Times New Roman"/>
          <w:b/>
        </w:rPr>
      </w:pPr>
      <w:r>
        <w:rPr>
          <w:rFonts w:ascii="Times New Roman" w:eastAsia="Times New Roman" w:hAnsi="Times New Roman" w:cs="Times New Roman"/>
          <w:b/>
          <w:sz w:val="32"/>
          <w:szCs w:val="32"/>
        </w:rPr>
        <w:t>CAMERA DEI DEPUTATI</w:t>
      </w:r>
    </w:p>
    <w:p w14:paraId="00000002" w14:textId="77777777" w:rsidR="00A90DDD" w:rsidRDefault="00A90DDD">
      <w:pPr>
        <w:spacing w:before="200" w:after="200" w:line="360" w:lineRule="auto"/>
        <w:jc w:val="center"/>
        <w:rPr>
          <w:rFonts w:ascii="Times New Roman" w:eastAsia="Times New Roman" w:hAnsi="Times New Roman" w:cs="Times New Roman"/>
          <w:b/>
        </w:rPr>
      </w:pPr>
    </w:p>
    <w:p w14:paraId="00000003" w14:textId="77777777" w:rsidR="00A90DDD" w:rsidRDefault="00A41CF7">
      <w:pPr>
        <w:spacing w:before="200" w:after="200" w:line="360" w:lineRule="auto"/>
        <w:jc w:val="center"/>
        <w:rPr>
          <w:rFonts w:ascii="Times New Roman" w:eastAsia="Times New Roman" w:hAnsi="Times New Roman" w:cs="Times New Roman"/>
          <w:b/>
        </w:rPr>
      </w:pPr>
      <w:r>
        <w:rPr>
          <w:rFonts w:ascii="Times New Roman" w:eastAsia="Times New Roman" w:hAnsi="Times New Roman" w:cs="Times New Roman"/>
          <w:b/>
        </w:rPr>
        <w:t>PROPOSTA DI LEGGE</w:t>
      </w:r>
    </w:p>
    <w:p w14:paraId="00000004" w14:textId="17715A5A" w:rsidR="00A90DDD" w:rsidRDefault="00A41CF7">
      <w:pPr>
        <w:spacing w:before="200" w:after="200" w:line="360" w:lineRule="auto"/>
        <w:jc w:val="center"/>
        <w:rPr>
          <w:rFonts w:ascii="Times New Roman" w:eastAsia="Times New Roman" w:hAnsi="Times New Roman" w:cs="Times New Roman"/>
        </w:rPr>
      </w:pPr>
      <w:r>
        <w:rPr>
          <w:rFonts w:ascii="Times New Roman" w:eastAsia="Times New Roman" w:hAnsi="Times New Roman" w:cs="Times New Roman"/>
        </w:rPr>
        <w:t>d’iniziativa de</w:t>
      </w:r>
      <w:r w:rsidR="000D1CF1">
        <w:rPr>
          <w:rFonts w:ascii="Times New Roman" w:eastAsia="Times New Roman" w:hAnsi="Times New Roman" w:cs="Times New Roman"/>
        </w:rPr>
        <w:t>i deputati</w:t>
      </w:r>
    </w:p>
    <w:p w14:paraId="00000006" w14:textId="488B143C" w:rsidR="00A90DDD" w:rsidRDefault="000D1CF1">
      <w:pPr>
        <w:spacing w:before="200" w:after="200" w:line="360" w:lineRule="auto"/>
        <w:jc w:val="center"/>
        <w:rPr>
          <w:rFonts w:ascii="Times New Roman" w:eastAsia="Times New Roman" w:hAnsi="Times New Roman" w:cs="Times New Roman"/>
        </w:rPr>
      </w:pPr>
      <w:r w:rsidRPr="000D1CF1">
        <w:rPr>
          <w:rFonts w:ascii="Times New Roman" w:eastAsia="Times New Roman" w:hAnsi="Times New Roman" w:cs="Times New Roman"/>
        </w:rPr>
        <w:t>GADDA, BOSCHI, BONIFAZI, DEL BARBA, FARAONE, GIACHETTI </w:t>
      </w:r>
    </w:p>
    <w:p w14:paraId="14989E9E" w14:textId="77777777" w:rsidR="000D1CF1" w:rsidRDefault="000D1CF1">
      <w:pPr>
        <w:spacing w:before="200" w:after="200" w:line="360" w:lineRule="auto"/>
        <w:jc w:val="center"/>
        <w:rPr>
          <w:rFonts w:ascii="Times New Roman" w:eastAsia="Times New Roman" w:hAnsi="Times New Roman" w:cs="Times New Roman"/>
        </w:rPr>
      </w:pPr>
    </w:p>
    <w:p w14:paraId="00000007" w14:textId="77777777" w:rsidR="00A90DDD" w:rsidRDefault="00A41CF7">
      <w:pPr>
        <w:spacing w:before="200" w:after="200" w:line="360" w:lineRule="auto"/>
        <w:jc w:val="center"/>
        <w:rPr>
          <w:rFonts w:ascii="Times New Roman" w:eastAsia="Times New Roman" w:hAnsi="Times New Roman" w:cs="Times New Roman"/>
          <w:i/>
        </w:rPr>
      </w:pPr>
      <w:r>
        <w:rPr>
          <w:rFonts w:ascii="Times New Roman" w:eastAsia="Times New Roman" w:hAnsi="Times New Roman" w:cs="Times New Roman"/>
          <w:i/>
        </w:rPr>
        <w:t>Disposizioni in materia di indennizzi agli utenti per disservizi relativi alla mobilità ferroviaria e autostradale</w:t>
      </w:r>
    </w:p>
    <w:p w14:paraId="00000008" w14:textId="77777777" w:rsidR="00A90DDD" w:rsidRDefault="00A41CF7">
      <w:pPr>
        <w:spacing w:before="200" w:after="200" w:line="360" w:lineRule="auto"/>
        <w:jc w:val="both"/>
        <w:rPr>
          <w:rFonts w:ascii="Times New Roman" w:eastAsia="Times New Roman" w:hAnsi="Times New Roman" w:cs="Times New Roman"/>
        </w:rPr>
      </w:pPr>
      <w:r>
        <w:rPr>
          <w:rFonts w:ascii="Times New Roman" w:eastAsia="Times New Roman" w:hAnsi="Times New Roman" w:cs="Times New Roman"/>
          <w:smallCaps/>
        </w:rPr>
        <w:t>Onorevoli colleghi!</w:t>
      </w:r>
      <w:r>
        <w:rPr>
          <w:rFonts w:ascii="Times New Roman" w:eastAsia="Times New Roman" w:hAnsi="Times New Roman" w:cs="Times New Roman"/>
        </w:rPr>
        <w:t xml:space="preserve">. — Nel contesto attuale, caratterizzato da una rete ferroviaria e autostradale interessata da un numero crescente di cantieri – pur necessari allo sviluppo infrastrutturale del Paese – emerge con forza il tema della gestione inefficiente dei disagi per la mobilità da parte dei principali operatori (Trenitalia e Rete Ferroviaria Italiana). L’impatto dei cantieri aperti e degli interventi infrastrutturali risulta ulteriormente aggravato da criticità strutturali nella gestione ordinaria e straordinaria del servizio: carenze nella manutenzione dei treni, nella manutenzione della linea, nel coordinamento tra cantieri e nella gestione dei disagi inflitti agli utenti con il rischio di trasferire totalmente il peso dei disservizi su cittadini e imprese. </w:t>
      </w:r>
    </w:p>
    <w:p w14:paraId="00000009" w14:textId="77777777" w:rsidR="00A90DDD" w:rsidRDefault="00A41CF7">
      <w:pPr>
        <w:spacing w:before="200" w:after="200" w:line="360" w:lineRule="auto"/>
        <w:jc w:val="both"/>
        <w:rPr>
          <w:rFonts w:ascii="Times New Roman" w:eastAsia="Times New Roman" w:hAnsi="Times New Roman" w:cs="Times New Roman"/>
        </w:rPr>
      </w:pPr>
      <w:r>
        <w:rPr>
          <w:rFonts w:ascii="Times New Roman" w:eastAsia="Times New Roman" w:hAnsi="Times New Roman" w:cs="Times New Roman"/>
        </w:rPr>
        <w:t>La transizione verso una mobilità più moderna, efficiente e sostenibile non può prescindere dalla tutela degli utenti che oggi ne subiscono il prezzo di un sistema che mostra gravi lacune organizzative. Occorrono interventi immediati e mirati per garantire che il diritto alla mobilità, pur in un momento di trasformazione, resti effettivo e non diventi una promessa disattesa.</w:t>
      </w:r>
    </w:p>
    <w:p w14:paraId="0000000A" w14:textId="77777777" w:rsidR="00A90DDD" w:rsidRDefault="00A41CF7">
      <w:pPr>
        <w:spacing w:before="200" w:after="200" w:line="360" w:lineRule="auto"/>
        <w:jc w:val="both"/>
        <w:rPr>
          <w:rFonts w:ascii="Times New Roman" w:eastAsia="Times New Roman" w:hAnsi="Times New Roman" w:cs="Times New Roman"/>
        </w:rPr>
      </w:pPr>
      <w:r>
        <w:rPr>
          <w:rFonts w:ascii="Times New Roman" w:eastAsia="Times New Roman" w:hAnsi="Times New Roman" w:cs="Times New Roman"/>
        </w:rPr>
        <w:t>Il trasporto ferroviario è un servizio fondamentale per assicurare la mobilità dei cittadini e mitigare le esternalità ambientali. Il diritto alla mobilità è un principio essenziale che garantisce inclusione e sviluppo economico, consentendo ai cittadini di muoversi agevolmente per lavoro, turismo, istruzione e verso i servizi essenziali. Garantire, dunque, una mobilità efficiente ed integrata rappresenta una priorità per i territori urbani ed extraurbani. Un sistema di trasporto ferroviario affidabile e ben organizzato incide positivamente sulla qualità della vita, riducendo lo stress legato agli spostamenti e migliorando sensibilmente la qualità della vita e la fruibilità del sistema Paese.</w:t>
      </w:r>
    </w:p>
    <w:p w14:paraId="0000000B" w14:textId="77777777" w:rsidR="00A90DDD" w:rsidRDefault="00A41CF7">
      <w:pPr>
        <w:spacing w:before="200" w:after="200" w:line="360" w:lineRule="auto"/>
        <w:jc w:val="both"/>
        <w:rPr>
          <w:rFonts w:ascii="Times New Roman" w:eastAsia="Times New Roman" w:hAnsi="Times New Roman" w:cs="Times New Roman"/>
        </w:rPr>
      </w:pPr>
      <w:r>
        <w:rPr>
          <w:rFonts w:ascii="Times New Roman" w:eastAsia="Times New Roman" w:hAnsi="Times New Roman" w:cs="Times New Roman"/>
        </w:rPr>
        <w:t xml:space="preserve">Tuttavia, a fronte di questi obiettivi, il sistema ferroviario italiano mostra una preoccupante disorganizzazione, specialmente nei nodi strategici. Le stazioni delle grandi città, dove transitano </w:t>
      </w:r>
      <w:r>
        <w:rPr>
          <w:rFonts w:ascii="Times New Roman" w:eastAsia="Times New Roman" w:hAnsi="Times New Roman" w:cs="Times New Roman"/>
        </w:rPr>
        <w:lastRenderedPageBreak/>
        <w:t>treni ad alta velocità con servizi a media e bassa percorrenza, soffrono l’assenza di un piano strategico di gestione del traffico ferroviario, a scapito di un servizio efficace ed efficiente. Solo Bologna rappresenta oggi un modello in cui questa convivenza è stata pensata e razionalizzata attraverso un riassetto organizzativo del tutto funzionale alle diverse esigenze di mobilità.</w:t>
      </w:r>
    </w:p>
    <w:p w14:paraId="0000000C" w14:textId="77777777" w:rsidR="00A90DDD" w:rsidRDefault="00A41CF7">
      <w:pPr>
        <w:spacing w:before="280" w:after="280" w:line="360" w:lineRule="auto"/>
        <w:jc w:val="both"/>
        <w:rPr>
          <w:rFonts w:ascii="Times New Roman" w:eastAsia="Times New Roman" w:hAnsi="Times New Roman" w:cs="Times New Roman"/>
        </w:rPr>
      </w:pPr>
      <w:r>
        <w:rPr>
          <w:rFonts w:ascii="Times New Roman" w:eastAsia="Times New Roman" w:hAnsi="Times New Roman" w:cs="Times New Roman"/>
        </w:rPr>
        <w:t xml:space="preserve">La puntualità dei treni è per antonomasia uno degli indicatori chiave per valutare la qualità del servizio ferroviario nonché un elemento essenziale per la tutela dell’utenza. Nonostante ciò, nell’ultimo biennio si sta assistendo a un grave e costante aumento dei ritardi su tutte le tratte, con disservizi che compromettono gravemente l’efficienza del sistema ferroviario e sovente fanno deviare i cittadini verso mezzi meno ecologici. </w:t>
      </w:r>
    </w:p>
    <w:p w14:paraId="0000000D" w14:textId="77777777" w:rsidR="00A90DDD" w:rsidRDefault="00A41CF7">
      <w:pPr>
        <w:spacing w:before="280" w:after="280" w:line="360" w:lineRule="auto"/>
        <w:jc w:val="both"/>
        <w:rPr>
          <w:rFonts w:ascii="Times New Roman" w:eastAsia="Times New Roman" w:hAnsi="Times New Roman" w:cs="Times New Roman"/>
        </w:rPr>
      </w:pPr>
      <w:r>
        <w:rPr>
          <w:rFonts w:ascii="Times New Roman" w:eastAsia="Times New Roman" w:hAnsi="Times New Roman" w:cs="Times New Roman"/>
        </w:rPr>
        <w:t>Le inefficienze operative si manifestano quotidianamente: messaggi ai viaggiatori spesso tardivi o inesistenti, servizi sostitutivi inadeguati, gestione confusa dei ritardi e dei disservizi. Tali problemi non sono più eccezioni, ma una costante cui i viaggiatori sono costretti a fare fronte nel tentativo di soddisfare le proprie esigenze di mobilità.</w:t>
      </w:r>
    </w:p>
    <w:p w14:paraId="0000000E" w14:textId="77777777" w:rsidR="00A90DDD" w:rsidRDefault="00A41CF7">
      <w:pPr>
        <w:spacing w:before="240" w:after="240" w:line="360" w:lineRule="auto"/>
        <w:jc w:val="both"/>
        <w:rPr>
          <w:rFonts w:ascii="Times New Roman" w:eastAsia="Times New Roman" w:hAnsi="Times New Roman" w:cs="Times New Roman"/>
        </w:rPr>
      </w:pPr>
      <w:r>
        <w:rPr>
          <w:rFonts w:ascii="Times New Roman" w:eastAsia="Times New Roman" w:hAnsi="Times New Roman" w:cs="Times New Roman"/>
        </w:rPr>
        <w:t xml:space="preserve">In un recente studio di Altroconsumo pubblicato il 18 marzo 2025 parametrato su un campione di  59 tratte, si legge che il 36% dei treni Frecciarossa giunge a destinazione in ritardo, con picchi del 65% sulla tratta Salerno–Torino Porta Nuova e del 43% sulla tratta Roma-Milano per ritardi oltre ai 20 minuti. I convogli Italo </w:t>
      </w:r>
      <w:proofErr w:type="spellStart"/>
      <w:r>
        <w:rPr>
          <w:rFonts w:ascii="Times New Roman" w:eastAsia="Times New Roman" w:hAnsi="Times New Roman" w:cs="Times New Roman"/>
        </w:rPr>
        <w:t>S.p.A</w:t>
      </w:r>
      <w:proofErr w:type="spellEnd"/>
      <w:r>
        <w:rPr>
          <w:rFonts w:ascii="Times New Roman" w:eastAsia="Times New Roman" w:hAnsi="Times New Roman" w:cs="Times New Roman"/>
        </w:rPr>
        <w:t xml:space="preserve"> presentano, invece, ritardi solo nel 26% dei casi. I treni Frecciargento sono i più soggetti a ritardi, con una media del 41%, con picchi del 95% sulla tratta Bari–Roma Termini mentre i treni Frecciabianca, mostrano quasi il 50% di ritardi sulla Roma–Genova. Neanche i treni Intercity brillano per puntualità registrando ritardi nel 29% dei casi, con picchi preoccupanti sulla tratta Milano–Pescara dove i treni risultano essere in ritardo 43 giorni su 45.</w:t>
      </w:r>
    </w:p>
    <w:p w14:paraId="0000000F" w14:textId="77777777" w:rsidR="00A90DDD" w:rsidRDefault="00A41CF7">
      <w:pPr>
        <w:spacing w:before="200" w:after="200" w:line="360" w:lineRule="auto"/>
        <w:jc w:val="both"/>
        <w:rPr>
          <w:rFonts w:ascii="Times New Roman" w:eastAsia="Times New Roman" w:hAnsi="Times New Roman" w:cs="Times New Roman"/>
        </w:rPr>
      </w:pPr>
      <w:r>
        <w:rPr>
          <w:rFonts w:ascii="Times New Roman" w:eastAsia="Times New Roman" w:hAnsi="Times New Roman" w:cs="Times New Roman"/>
        </w:rPr>
        <w:t>L’indagine mostra, altresì, come le percentuali di ritardo crescono sui principali snodi ferroviari – ossia le principali stazioni delle grandi città – e diminuiscono nelle stazioni limitrofe o secondarie. A ciò si aggiunge l’aumento dei tempi di percorrenza. Secondo alcune comunicazioni di RFI, questi sono aumentati drasticamente e, nella prossima estate, ad esempio, la tratta Milano-Venezia subirà un incremento di 90 minuti di percorrenza per tre settimane.</w:t>
      </w:r>
    </w:p>
    <w:p w14:paraId="00000010" w14:textId="77777777" w:rsidR="00A90DDD" w:rsidRDefault="00A41CF7">
      <w:pPr>
        <w:spacing w:before="240" w:after="240" w:line="360" w:lineRule="auto"/>
        <w:jc w:val="both"/>
        <w:rPr>
          <w:rFonts w:ascii="Times New Roman" w:eastAsia="Times New Roman" w:hAnsi="Times New Roman" w:cs="Times New Roman"/>
        </w:rPr>
      </w:pPr>
      <w:r>
        <w:rPr>
          <w:rFonts w:ascii="Times New Roman" w:eastAsia="Times New Roman" w:hAnsi="Times New Roman" w:cs="Times New Roman"/>
        </w:rPr>
        <w:t xml:space="preserve">Una simile inefficienza ha ripercussioni dirette non solo sugli utenti, ma anche sul sistema economico, incidendo negativamente sulla competitività e produttività delle aziende, sul turismo e sulla percezione che gli utenti esteri hanno non solo hanno dei fornitori di servizi di mobilità ma anche di tutto il sistema Paese. </w:t>
      </w:r>
    </w:p>
    <w:p w14:paraId="00000011" w14:textId="77777777" w:rsidR="00A90DDD" w:rsidRDefault="00A41CF7">
      <w:pPr>
        <w:spacing w:before="200" w:after="200" w:line="360" w:lineRule="auto"/>
        <w:jc w:val="both"/>
        <w:rPr>
          <w:rFonts w:ascii="Times New Roman" w:eastAsia="Times New Roman" w:hAnsi="Times New Roman" w:cs="Times New Roman"/>
        </w:rPr>
      </w:pPr>
      <w:r>
        <w:rPr>
          <w:rFonts w:ascii="Times New Roman" w:eastAsia="Times New Roman" w:hAnsi="Times New Roman" w:cs="Times New Roman"/>
        </w:rPr>
        <w:lastRenderedPageBreak/>
        <w:t>Come si evince facilmente dai dati, i disservizi sono diventati oltremodo gravosi e l’attuale ed inefficiente meccanismo di rimborso - la percentuale massima maturabile è del 50% del costo del biglietto qualora il ritardo sia di almeno due ore sull’arrivo previsto - risulta insufficiente e inadeguata.</w:t>
      </w:r>
    </w:p>
    <w:p w14:paraId="00000012" w14:textId="77777777" w:rsidR="00A90DDD" w:rsidRDefault="00A41CF7">
      <w:pPr>
        <w:spacing w:before="240" w:after="240" w:line="360" w:lineRule="auto"/>
        <w:jc w:val="both"/>
        <w:rPr>
          <w:rFonts w:ascii="Times New Roman" w:eastAsia="Times New Roman" w:hAnsi="Times New Roman" w:cs="Times New Roman"/>
        </w:rPr>
      </w:pPr>
      <w:r>
        <w:rPr>
          <w:rFonts w:ascii="Times New Roman" w:eastAsia="Times New Roman" w:hAnsi="Times New Roman" w:cs="Times New Roman"/>
        </w:rPr>
        <w:t>Il Regolamento UE 782/2021 sui "</w:t>
      </w:r>
      <w:r>
        <w:rPr>
          <w:rFonts w:ascii="Times New Roman" w:eastAsia="Times New Roman" w:hAnsi="Times New Roman" w:cs="Times New Roman"/>
          <w:i/>
        </w:rPr>
        <w:t>Diritti e obblighi dei passeggeri nel trasporto ferroviario</w:t>
      </w:r>
      <w:r>
        <w:rPr>
          <w:rFonts w:ascii="Times New Roman" w:eastAsia="Times New Roman" w:hAnsi="Times New Roman" w:cs="Times New Roman"/>
        </w:rPr>
        <w:t xml:space="preserve">", che disciplina le percentuali di indennizzo minimo per ritardi e cancellazioni, si rivela inadeguato a compensare il disagio e il danno subiti dagli utenti specie con riguardo all’attuale situazione della rete ferroviaria italiana, gravata dalla presenza simultanea di circa 1.200 cantieri, da un traffico ferroviario intenso e mal gestito e da un’atavica carenza nella gestione ordinaria caratterizzata da scarsa o assente manutenzione convogli e della linea. </w:t>
      </w:r>
    </w:p>
    <w:p w14:paraId="00000013" w14:textId="77777777" w:rsidR="00A90DDD" w:rsidRDefault="00A41CF7">
      <w:pPr>
        <w:spacing w:before="240" w:after="240" w:line="360" w:lineRule="auto"/>
        <w:jc w:val="both"/>
        <w:rPr>
          <w:rFonts w:ascii="Times New Roman" w:eastAsia="Times New Roman" w:hAnsi="Times New Roman" w:cs="Times New Roman"/>
        </w:rPr>
      </w:pPr>
      <w:r>
        <w:rPr>
          <w:rFonts w:ascii="Times New Roman" w:eastAsia="Times New Roman" w:hAnsi="Times New Roman" w:cs="Times New Roman"/>
        </w:rPr>
        <w:t>La mancanza di adeguati compensazioni e risarcimenti non solo penalizza i passeggeri, ma rischia di disincentivare l’uso del treno a favore di mezzi privati, con un impatto negativo sulle emissioni e sulla sostenibilità ambientale. In una fase di profondo rinnovamento infrastrutturale, è indispensabile evitare che i costi sociali della transizione siano interamente scaricati su cittadini e imprese.</w:t>
      </w:r>
    </w:p>
    <w:p w14:paraId="00000014" w14:textId="77777777" w:rsidR="00A90DDD" w:rsidRDefault="00A41CF7">
      <w:pPr>
        <w:spacing w:before="200" w:after="200" w:line="360" w:lineRule="auto"/>
        <w:jc w:val="both"/>
        <w:rPr>
          <w:rFonts w:ascii="Times New Roman" w:eastAsia="Times New Roman" w:hAnsi="Times New Roman" w:cs="Times New Roman"/>
        </w:rPr>
      </w:pPr>
      <w:r>
        <w:rPr>
          <w:rFonts w:ascii="Times New Roman" w:eastAsia="Times New Roman" w:hAnsi="Times New Roman" w:cs="Times New Roman"/>
        </w:rPr>
        <w:t xml:space="preserve">Proprio in virtù di tale preoccupante situazione, con la proposta di legge in oggetto si individuano e definiscono, fino al 31 dicembre 2027, specifici indennizzi per i passeggeri in caso di ritardo o di cancellazione del servizio ferroviario acquistato, basati sul reale disagio subito e distribuiti in modo automatico, senza che l’utente debba attivare complesse procedure burocratiche. Un simile intervento normativo può rappresentare non solo un incentivo per le compagnie ferroviarie a migliorare la qualità del servizio, aumentando gli investimenti in infrastrutture e tecnologie volte a ridurre i ritardi e a ottimizzare la gestione del traffico ferroviario, ma anche una misura di giustizia compensativa e, insieme, uno stimolo per Trenitalia e RFI a migliorare la qualità della gestione, investendo seriamente in tecnologie, manutenzione e pianificazione. </w:t>
      </w:r>
    </w:p>
    <w:p w14:paraId="00000015" w14:textId="77777777" w:rsidR="00A90DDD" w:rsidRDefault="00A41CF7">
      <w:pPr>
        <w:spacing w:before="200" w:after="200" w:line="360" w:lineRule="auto"/>
        <w:jc w:val="both"/>
        <w:rPr>
          <w:rFonts w:ascii="Times New Roman" w:eastAsia="Times New Roman" w:hAnsi="Times New Roman" w:cs="Times New Roman"/>
        </w:rPr>
      </w:pPr>
      <w:r>
        <w:rPr>
          <w:rFonts w:ascii="Times New Roman" w:eastAsia="Times New Roman" w:hAnsi="Times New Roman" w:cs="Times New Roman"/>
        </w:rPr>
        <w:t xml:space="preserve">Tuttavia, le criticità legate alla mobilità non riguardano solo il sistema ferroviario. Come evidenziato nel VI Rapporto dell’Osservatorio CNA Burocrazia, anche il settore autostradale mostra dinamiche preoccupanti relativamente alla tutela degli utenti. L’atavica carenza di programmazione della manutenzione stradale è stata rilevata in diverse circostanze dall’Autorità Garante della Concorrenza e del Mercato (AGCM). </w:t>
      </w:r>
    </w:p>
    <w:p w14:paraId="00000016" w14:textId="77777777" w:rsidR="00A90DDD" w:rsidRDefault="00A41CF7">
      <w:pPr>
        <w:spacing w:before="200" w:after="200" w:line="360" w:lineRule="auto"/>
        <w:jc w:val="both"/>
        <w:rPr>
          <w:rFonts w:ascii="Times New Roman" w:eastAsia="Times New Roman" w:hAnsi="Times New Roman" w:cs="Times New Roman"/>
        </w:rPr>
      </w:pPr>
      <w:r>
        <w:rPr>
          <w:rFonts w:ascii="Times New Roman" w:eastAsia="Times New Roman" w:hAnsi="Times New Roman" w:cs="Times New Roman"/>
        </w:rPr>
        <w:t>L’autorità amministrativa indipendente ha avuto modo di sanzionare la condotta dei concessionari evidenziando comportamenti lesivi della sicurezza della circolazione con un deterioramento significativo della qualità del servizio a partire dal 2019.</w:t>
      </w:r>
    </w:p>
    <w:p w14:paraId="00000017" w14:textId="77777777" w:rsidR="00A90DDD" w:rsidRDefault="00A41CF7">
      <w:pPr>
        <w:spacing w:before="200" w:after="200" w:line="360" w:lineRule="auto"/>
        <w:jc w:val="both"/>
        <w:rPr>
          <w:rFonts w:ascii="Times New Roman" w:eastAsia="Times New Roman" w:hAnsi="Times New Roman" w:cs="Times New Roman"/>
        </w:rPr>
      </w:pPr>
      <w:r>
        <w:rPr>
          <w:rFonts w:ascii="Times New Roman" w:eastAsia="Times New Roman" w:hAnsi="Times New Roman" w:cs="Times New Roman"/>
        </w:rPr>
        <w:lastRenderedPageBreak/>
        <w:t xml:space="preserve">Secondo l’AGCM, nel periodo analizzato, diverse tratte autostradali sono state interessate da gravi o gravissimi disagi alla viabilità, con tempo di percorrenza dilatati. Tale situazione è risultata aggravata dalla gestione frammentata e scoordinata dei cantieri – spesso insistenti sulle stesse tratte –  con restringimenti di carreggiata e chiusure. </w:t>
      </w:r>
    </w:p>
    <w:p w14:paraId="00000018" w14:textId="77777777" w:rsidR="00A90DDD" w:rsidRDefault="00A41CF7">
      <w:pPr>
        <w:spacing w:before="200" w:after="200" w:line="360" w:lineRule="auto"/>
        <w:jc w:val="both"/>
        <w:rPr>
          <w:rFonts w:ascii="Times New Roman" w:eastAsia="Times New Roman" w:hAnsi="Times New Roman" w:cs="Times New Roman"/>
        </w:rPr>
      </w:pPr>
      <w:r>
        <w:rPr>
          <w:rFonts w:ascii="Times New Roman" w:eastAsia="Times New Roman" w:hAnsi="Times New Roman" w:cs="Times New Roman"/>
        </w:rPr>
        <w:t xml:space="preserve">Appare, dunque, evidente la necessità di prevedere anche per i concessionari autostradali, procedure standardizzate e automatiche a favore degli utenti, senza che l’utente debba attivare complesse procedure burocratiche. </w:t>
      </w:r>
    </w:p>
    <w:p w14:paraId="484864FF" w14:textId="77777777" w:rsidR="003E36AD" w:rsidRDefault="00A41CF7">
      <w:pPr>
        <w:spacing w:before="200" w:after="200" w:line="360" w:lineRule="auto"/>
        <w:jc w:val="both"/>
        <w:rPr>
          <w:rFonts w:ascii="Times New Roman" w:eastAsia="Times New Roman" w:hAnsi="Times New Roman" w:cs="Times New Roman"/>
        </w:rPr>
      </w:pPr>
      <w:r>
        <w:rPr>
          <w:rFonts w:ascii="Times New Roman" w:eastAsia="Times New Roman" w:hAnsi="Times New Roman" w:cs="Times New Roman"/>
        </w:rPr>
        <w:t>Il principio ispiratore della presente proposta è semplice e universale: chi subisce un disservizio ha diritto a un risarcimento equo, diretto e tempestivo. Che si tratti di un ritardo ferroviario o di un ingorgo causato da lavori stradali mal gestiti, il cittadino non può essere lasciato solo a sopportarne le conseguenze.</w:t>
      </w:r>
    </w:p>
    <w:p w14:paraId="67E784E2" w14:textId="77777777" w:rsidR="003E36AD" w:rsidRDefault="003E36AD">
      <w:pPr>
        <w:spacing w:before="200" w:after="200" w:line="360" w:lineRule="auto"/>
        <w:jc w:val="both"/>
        <w:rPr>
          <w:rFonts w:ascii="Times New Roman" w:eastAsia="Times New Roman" w:hAnsi="Times New Roman" w:cs="Times New Roman"/>
        </w:rPr>
      </w:pPr>
    </w:p>
    <w:p w14:paraId="75A641C5" w14:textId="77777777" w:rsidR="000D1CF1" w:rsidRDefault="000D1CF1">
      <w:pPr>
        <w:spacing w:after="160" w:line="360" w:lineRule="auto"/>
        <w:jc w:val="center"/>
        <w:rPr>
          <w:rFonts w:ascii="Times New Roman" w:eastAsia="Times New Roman" w:hAnsi="Times New Roman" w:cs="Times New Roman"/>
        </w:rPr>
      </w:pPr>
    </w:p>
    <w:p w14:paraId="0000001A" w14:textId="12E85234" w:rsidR="00A90DDD" w:rsidRDefault="00A41CF7">
      <w:pPr>
        <w:spacing w:after="160" w:line="360" w:lineRule="auto"/>
        <w:jc w:val="center"/>
        <w:rPr>
          <w:rFonts w:ascii="Times New Roman" w:eastAsia="Times New Roman" w:hAnsi="Times New Roman" w:cs="Times New Roman"/>
        </w:rPr>
      </w:pPr>
      <w:r>
        <w:rPr>
          <w:rFonts w:ascii="Times New Roman" w:eastAsia="Times New Roman" w:hAnsi="Times New Roman" w:cs="Times New Roman"/>
        </w:rPr>
        <w:t>PROPOSTA DI LEGGE</w:t>
      </w:r>
    </w:p>
    <w:p w14:paraId="0000001B" w14:textId="77777777" w:rsidR="00A90DDD" w:rsidRDefault="00A90DDD">
      <w:pPr>
        <w:spacing w:line="360" w:lineRule="auto"/>
        <w:rPr>
          <w:rFonts w:ascii="Times New Roman" w:eastAsia="Times New Roman" w:hAnsi="Times New Roman" w:cs="Times New Roman"/>
        </w:rPr>
      </w:pPr>
    </w:p>
    <w:p w14:paraId="0000001C" w14:textId="77777777" w:rsidR="00A90DDD" w:rsidRDefault="00A41CF7">
      <w:pPr>
        <w:spacing w:after="160" w:line="360" w:lineRule="auto"/>
        <w:jc w:val="center"/>
        <w:rPr>
          <w:rFonts w:ascii="Times New Roman" w:eastAsia="Times New Roman" w:hAnsi="Times New Roman" w:cs="Times New Roman"/>
        </w:rPr>
      </w:pPr>
      <w:r>
        <w:rPr>
          <w:rFonts w:ascii="Times New Roman" w:eastAsia="Times New Roman" w:hAnsi="Times New Roman" w:cs="Times New Roman"/>
        </w:rPr>
        <w:t>Art. 1.</w:t>
      </w:r>
    </w:p>
    <w:p w14:paraId="0000001D" w14:textId="77777777" w:rsidR="00A90DDD" w:rsidRDefault="00A41CF7">
      <w:pPr>
        <w:spacing w:after="160" w:line="360" w:lineRule="auto"/>
        <w:jc w:val="center"/>
        <w:rPr>
          <w:rFonts w:ascii="Times New Roman" w:eastAsia="Times New Roman" w:hAnsi="Times New Roman" w:cs="Times New Roman"/>
        </w:rPr>
      </w:pPr>
      <w:r>
        <w:rPr>
          <w:rFonts w:ascii="Times New Roman" w:eastAsia="Times New Roman" w:hAnsi="Times New Roman" w:cs="Times New Roman"/>
          <w:i/>
        </w:rPr>
        <w:t>(Disposizioni in materia di indennizzi per ritardi e cancellazioni del servizio ferroviario)</w:t>
      </w:r>
    </w:p>
    <w:p w14:paraId="0000001E" w14:textId="77777777" w:rsidR="00A90DDD" w:rsidRDefault="00A41CF7">
      <w:pPr>
        <w:spacing w:before="200" w:after="200" w:line="360" w:lineRule="auto"/>
        <w:jc w:val="both"/>
        <w:rPr>
          <w:rFonts w:ascii="Times New Roman" w:eastAsia="Times New Roman" w:hAnsi="Times New Roman" w:cs="Times New Roman"/>
        </w:rPr>
      </w:pPr>
      <w:r>
        <w:rPr>
          <w:rFonts w:ascii="Times New Roman" w:eastAsia="Times New Roman" w:hAnsi="Times New Roman" w:cs="Times New Roman"/>
        </w:rPr>
        <w:t>1. All’articolo 24-</w:t>
      </w:r>
      <w:r>
        <w:rPr>
          <w:rFonts w:ascii="Times New Roman" w:eastAsia="Times New Roman" w:hAnsi="Times New Roman" w:cs="Times New Roman"/>
          <w:i/>
        </w:rPr>
        <w:t>bis</w:t>
      </w:r>
      <w:r>
        <w:rPr>
          <w:rFonts w:ascii="Times New Roman" w:eastAsia="Times New Roman" w:hAnsi="Times New Roman" w:cs="Times New Roman"/>
        </w:rPr>
        <w:t xml:space="preserve"> del decreto-legge 13 giugno 2023, n. 69, convertito con modificazioni dalla Legge 10 agosto 2023, n. 103, dopo il comma 2 sono aggiunti i seguenti:</w:t>
      </w:r>
    </w:p>
    <w:p w14:paraId="0000001F" w14:textId="77777777" w:rsidR="00A90DDD" w:rsidRDefault="00A41CF7">
      <w:pPr>
        <w:spacing w:before="200" w:after="200" w:line="360" w:lineRule="auto"/>
        <w:jc w:val="both"/>
        <w:rPr>
          <w:rFonts w:ascii="Times New Roman" w:eastAsia="Times New Roman" w:hAnsi="Times New Roman" w:cs="Times New Roman"/>
        </w:rPr>
      </w:pPr>
      <w:r>
        <w:rPr>
          <w:rFonts w:ascii="Times New Roman" w:eastAsia="Times New Roman" w:hAnsi="Times New Roman" w:cs="Times New Roman"/>
        </w:rPr>
        <w:t>«2-</w:t>
      </w:r>
      <w:r>
        <w:rPr>
          <w:rFonts w:ascii="Times New Roman" w:eastAsia="Times New Roman" w:hAnsi="Times New Roman" w:cs="Times New Roman"/>
          <w:i/>
        </w:rPr>
        <w:t>bis</w:t>
      </w:r>
      <w:r>
        <w:rPr>
          <w:rFonts w:ascii="Times New Roman" w:eastAsia="Times New Roman" w:hAnsi="Times New Roman" w:cs="Times New Roman"/>
        </w:rPr>
        <w:t xml:space="preserve">. Ferma la disciplina sulla previsione sugli indennizzi minimi prevista dall’articolo 19 del regolamento (UE) 2021/782 del Parlamento europeo e del Consiglio, del 29 aprile 2021, a decorrere dalla data di entrata in vigore della presente legge, gli indennizzi spettanti ai passeggeri i cui treni abbiano subito ritardi o cancellazioni sono rideterminati nei seguenti importi: </w:t>
      </w:r>
    </w:p>
    <w:p w14:paraId="00000020" w14:textId="77777777" w:rsidR="00A90DDD" w:rsidRDefault="00A41CF7">
      <w:pPr>
        <w:numPr>
          <w:ilvl w:val="0"/>
          <w:numId w:val="2"/>
        </w:numPr>
        <w:spacing w:before="200" w:line="360" w:lineRule="auto"/>
        <w:jc w:val="both"/>
        <w:rPr>
          <w:rFonts w:ascii="Times New Roman" w:eastAsia="Times New Roman" w:hAnsi="Times New Roman" w:cs="Times New Roman"/>
        </w:rPr>
      </w:pPr>
      <w:r>
        <w:rPr>
          <w:rFonts w:ascii="Times New Roman" w:eastAsia="Times New Roman" w:hAnsi="Times New Roman" w:cs="Times New Roman"/>
        </w:rPr>
        <w:t>in caso di ritardo superiore ai 15 minuti per i treni ad Alta Velocità e ai 30 minuti per le restanti tipologie di treni, l’indennizzo minimo è pari al 30 per cento del costo del biglietto;</w:t>
      </w:r>
    </w:p>
    <w:p w14:paraId="00000021" w14:textId="77777777" w:rsidR="00A90DDD" w:rsidRDefault="00A41CF7">
      <w:pPr>
        <w:numPr>
          <w:ilvl w:val="0"/>
          <w:numId w:val="2"/>
        </w:numPr>
        <w:spacing w:line="360" w:lineRule="auto"/>
        <w:jc w:val="both"/>
        <w:rPr>
          <w:rFonts w:ascii="Times New Roman" w:eastAsia="Times New Roman" w:hAnsi="Times New Roman" w:cs="Times New Roman"/>
        </w:rPr>
      </w:pPr>
      <w:r>
        <w:rPr>
          <w:rFonts w:ascii="Times New Roman" w:eastAsia="Times New Roman" w:hAnsi="Times New Roman" w:cs="Times New Roman"/>
        </w:rPr>
        <w:t>in caso di ritardo superiore ai 30 minuti per i treni ad Alta Velocità e ai 60 minuti per le restanti tipologie di treni, l’indennizzo è pari al 50 per cento del costo del biglietto;</w:t>
      </w:r>
    </w:p>
    <w:p w14:paraId="00000022" w14:textId="77777777" w:rsidR="00A90DDD" w:rsidRDefault="00A41CF7">
      <w:pPr>
        <w:numPr>
          <w:ilvl w:val="0"/>
          <w:numId w:val="2"/>
        </w:numPr>
        <w:spacing w:after="200" w:line="360" w:lineRule="auto"/>
        <w:jc w:val="both"/>
        <w:rPr>
          <w:rFonts w:ascii="Times New Roman" w:eastAsia="Times New Roman" w:hAnsi="Times New Roman" w:cs="Times New Roman"/>
        </w:rPr>
      </w:pPr>
      <w:r>
        <w:rPr>
          <w:rFonts w:ascii="Times New Roman" w:eastAsia="Times New Roman" w:hAnsi="Times New Roman" w:cs="Times New Roman"/>
        </w:rPr>
        <w:t>in caso di ritardo pari o superiore a 120 minuti o in caso di cancellazione del treno, il rimborso è pari al 100 per cento del costo del biglietto.</w:t>
      </w:r>
    </w:p>
    <w:p w14:paraId="00000023" w14:textId="77777777" w:rsidR="00A90DDD" w:rsidRDefault="00A41CF7">
      <w:pPr>
        <w:spacing w:before="200" w:after="200" w:line="360" w:lineRule="auto"/>
        <w:jc w:val="both"/>
        <w:rPr>
          <w:rFonts w:ascii="Times New Roman" w:eastAsia="Times New Roman" w:hAnsi="Times New Roman" w:cs="Times New Roman"/>
        </w:rPr>
      </w:pPr>
      <w:r>
        <w:rPr>
          <w:rFonts w:ascii="Times New Roman" w:eastAsia="Times New Roman" w:hAnsi="Times New Roman" w:cs="Times New Roman"/>
        </w:rPr>
        <w:lastRenderedPageBreak/>
        <w:t>2-</w:t>
      </w:r>
      <w:r>
        <w:rPr>
          <w:rFonts w:ascii="Times New Roman" w:eastAsia="Times New Roman" w:hAnsi="Times New Roman" w:cs="Times New Roman"/>
          <w:i/>
        </w:rPr>
        <w:t xml:space="preserve">ter. </w:t>
      </w:r>
      <w:r>
        <w:rPr>
          <w:rFonts w:ascii="Times New Roman" w:eastAsia="Times New Roman" w:hAnsi="Times New Roman" w:cs="Times New Roman"/>
        </w:rPr>
        <w:t>Gli indennizzi di cui al comma 2-bis saranno erogati automaticamente ai passeggeri al momento della conferma dell’avvenuto ritardo o dell’avvenuta cancellazione.»</w:t>
      </w:r>
    </w:p>
    <w:p w14:paraId="00000024" w14:textId="77777777" w:rsidR="00A90DDD" w:rsidRDefault="00A90DDD">
      <w:pPr>
        <w:spacing w:before="200" w:after="200" w:line="360" w:lineRule="auto"/>
        <w:jc w:val="both"/>
        <w:rPr>
          <w:rFonts w:ascii="Times New Roman" w:eastAsia="Times New Roman" w:hAnsi="Times New Roman" w:cs="Times New Roman"/>
        </w:rPr>
      </w:pPr>
    </w:p>
    <w:p w14:paraId="00000025" w14:textId="77777777" w:rsidR="00A90DDD" w:rsidRDefault="00A41CF7">
      <w:pPr>
        <w:spacing w:after="160" w:line="360" w:lineRule="auto"/>
        <w:jc w:val="center"/>
        <w:rPr>
          <w:rFonts w:ascii="Times New Roman" w:eastAsia="Times New Roman" w:hAnsi="Times New Roman" w:cs="Times New Roman"/>
        </w:rPr>
      </w:pPr>
      <w:r>
        <w:rPr>
          <w:rFonts w:ascii="Times New Roman" w:eastAsia="Times New Roman" w:hAnsi="Times New Roman" w:cs="Times New Roman"/>
        </w:rPr>
        <w:t>Art. 2.</w:t>
      </w:r>
    </w:p>
    <w:p w14:paraId="00000026" w14:textId="77777777" w:rsidR="00A90DDD" w:rsidRDefault="00A41CF7">
      <w:pPr>
        <w:spacing w:after="160" w:line="360" w:lineRule="auto"/>
        <w:jc w:val="center"/>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i/>
        </w:rPr>
        <w:t>Meccanismo di automatico riconoscimento di una agevolazione tariffaria o di rimborso del pedaggio autostradale per disagi alla mobilità</w:t>
      </w:r>
      <w:r>
        <w:rPr>
          <w:rFonts w:ascii="Times New Roman" w:eastAsia="Times New Roman" w:hAnsi="Times New Roman" w:cs="Times New Roman"/>
        </w:rPr>
        <w:t>)</w:t>
      </w:r>
    </w:p>
    <w:p w14:paraId="00000027" w14:textId="77777777" w:rsidR="00A90DDD" w:rsidRDefault="00A41CF7">
      <w:pPr>
        <w:spacing w:after="160" w:line="360" w:lineRule="auto"/>
        <w:jc w:val="both"/>
        <w:rPr>
          <w:rFonts w:ascii="Times New Roman" w:eastAsia="Times New Roman" w:hAnsi="Times New Roman" w:cs="Times New Roman"/>
        </w:rPr>
      </w:pPr>
      <w:r>
        <w:rPr>
          <w:rFonts w:ascii="Times New Roman" w:eastAsia="Times New Roman" w:hAnsi="Times New Roman" w:cs="Times New Roman"/>
        </w:rPr>
        <w:t>1. Al fine di tutelare l’utenza autostradale, qualora si verifichino comprovati episodi di disagio che alterino il regolare fluire della circolazione riconducibili alla cantierizzazione lungo una determinata tratta autostradale sottoposta a pedaggio, il relativo concessionario autostradale è tenuto a ristorare gli utenti per disagi connessi alla mobilità. Tali disagi devono essere misurabili in termini di tempi di percorrenza significativamente più elevati rispetto alla media e di velocità medie rilevate notevolmente ridotte rispetto a quelle massime legalmente consentite.</w:t>
      </w:r>
    </w:p>
    <w:p w14:paraId="00000028" w14:textId="77777777" w:rsidR="00A90DDD" w:rsidRDefault="00A41CF7">
      <w:pPr>
        <w:spacing w:after="160" w:line="360" w:lineRule="auto"/>
        <w:jc w:val="both"/>
        <w:rPr>
          <w:rFonts w:ascii="Times New Roman" w:eastAsia="Times New Roman" w:hAnsi="Times New Roman" w:cs="Times New Roman"/>
        </w:rPr>
      </w:pPr>
      <w:r>
        <w:rPr>
          <w:rFonts w:ascii="Times New Roman" w:eastAsia="Times New Roman" w:hAnsi="Times New Roman" w:cs="Times New Roman"/>
        </w:rPr>
        <w:t xml:space="preserve">2. Al fine di permettere l’attivazione di una procedura standardizzata per il riconoscimento di agevolazioni tariffaria ovvero dell’integrale rimborso del pedaggio, con decreto del Ministro delle Infrastrutture e dei Trasporti, da adottare entro 90 giorni dall’entrata in vigore </w:t>
      </w:r>
      <w:proofErr w:type="spellStart"/>
      <w:r>
        <w:rPr>
          <w:rFonts w:ascii="Times New Roman" w:eastAsia="Times New Roman" w:hAnsi="Times New Roman" w:cs="Times New Roman"/>
        </w:rPr>
        <w:t>dell</w:t>
      </w:r>
      <w:proofErr w:type="spellEnd"/>
      <w:r>
        <w:rPr>
          <w:rFonts w:ascii="Times New Roman" w:eastAsia="Times New Roman" w:hAnsi="Times New Roman" w:cs="Times New Roman"/>
        </w:rPr>
        <w:t xml:space="preserve"> presente legge, sono:</w:t>
      </w:r>
    </w:p>
    <w:p w14:paraId="00000029" w14:textId="77777777" w:rsidR="00A90DDD" w:rsidRDefault="00A41CF7">
      <w:pPr>
        <w:numPr>
          <w:ilvl w:val="0"/>
          <w:numId w:val="1"/>
        </w:numPr>
        <w:spacing w:line="360" w:lineRule="auto"/>
        <w:jc w:val="both"/>
        <w:rPr>
          <w:rFonts w:ascii="Times New Roman" w:eastAsia="Times New Roman" w:hAnsi="Times New Roman" w:cs="Times New Roman"/>
        </w:rPr>
      </w:pPr>
      <w:r>
        <w:rPr>
          <w:rFonts w:ascii="Times New Roman" w:eastAsia="Times New Roman" w:hAnsi="Times New Roman" w:cs="Times New Roman"/>
        </w:rPr>
        <w:t>individuate le specifiche tecniche di funzionamento dei ristori;</w:t>
      </w:r>
    </w:p>
    <w:p w14:paraId="0000002A" w14:textId="77777777" w:rsidR="00A90DDD" w:rsidRDefault="00A41CF7">
      <w:pPr>
        <w:numPr>
          <w:ilvl w:val="0"/>
          <w:numId w:val="1"/>
        </w:numPr>
        <w:spacing w:line="360" w:lineRule="auto"/>
        <w:jc w:val="both"/>
        <w:rPr>
          <w:rFonts w:ascii="Times New Roman" w:eastAsia="Times New Roman" w:hAnsi="Times New Roman" w:cs="Times New Roman"/>
        </w:rPr>
      </w:pPr>
      <w:r>
        <w:rPr>
          <w:rFonts w:ascii="Times New Roman" w:eastAsia="Times New Roman" w:hAnsi="Times New Roman" w:cs="Times New Roman"/>
        </w:rPr>
        <w:t>determinati il metodo e i parametri di calcolo;</w:t>
      </w:r>
    </w:p>
    <w:p w14:paraId="0000002B" w14:textId="77777777" w:rsidR="00A90DDD" w:rsidRDefault="00A41CF7">
      <w:pPr>
        <w:numPr>
          <w:ilvl w:val="0"/>
          <w:numId w:val="1"/>
        </w:numPr>
        <w:spacing w:after="160" w:line="360" w:lineRule="auto"/>
        <w:jc w:val="both"/>
        <w:rPr>
          <w:rFonts w:ascii="Times New Roman" w:eastAsia="Times New Roman" w:hAnsi="Times New Roman" w:cs="Times New Roman"/>
        </w:rPr>
      </w:pPr>
      <w:r>
        <w:rPr>
          <w:rFonts w:ascii="Times New Roman" w:eastAsia="Times New Roman" w:hAnsi="Times New Roman" w:cs="Times New Roman"/>
        </w:rPr>
        <w:t>definite le soglie in misura percentuale dei rapporti concernenti tempi di percorrenza e velocità autostradali medi ed effettivi.</w:t>
      </w:r>
    </w:p>
    <w:p w14:paraId="0000002C" w14:textId="77777777" w:rsidR="00A90DDD" w:rsidRDefault="00A90DDD">
      <w:pPr>
        <w:spacing w:after="160" w:line="360" w:lineRule="auto"/>
        <w:jc w:val="both"/>
        <w:rPr>
          <w:rFonts w:ascii="Times New Roman" w:eastAsia="Times New Roman" w:hAnsi="Times New Roman" w:cs="Times New Roman"/>
        </w:rPr>
      </w:pPr>
    </w:p>
    <w:p w14:paraId="0000002D" w14:textId="77777777" w:rsidR="00A90DDD" w:rsidRDefault="00A41CF7">
      <w:pPr>
        <w:spacing w:after="160" w:line="360" w:lineRule="auto"/>
        <w:jc w:val="center"/>
        <w:rPr>
          <w:rFonts w:ascii="Times New Roman" w:eastAsia="Times New Roman" w:hAnsi="Times New Roman" w:cs="Times New Roman"/>
        </w:rPr>
      </w:pPr>
      <w:r>
        <w:rPr>
          <w:rFonts w:ascii="Times New Roman" w:eastAsia="Times New Roman" w:hAnsi="Times New Roman" w:cs="Times New Roman"/>
        </w:rPr>
        <w:t>Art. 3.</w:t>
      </w:r>
    </w:p>
    <w:p w14:paraId="0000002E" w14:textId="77777777" w:rsidR="00A90DDD" w:rsidRDefault="00A41CF7">
      <w:pPr>
        <w:spacing w:after="160" w:line="360" w:lineRule="auto"/>
        <w:jc w:val="center"/>
        <w:rPr>
          <w:rFonts w:ascii="Times New Roman" w:eastAsia="Times New Roman" w:hAnsi="Times New Roman" w:cs="Times New Roman"/>
          <w:i/>
        </w:rPr>
      </w:pPr>
      <w:r>
        <w:rPr>
          <w:rFonts w:ascii="Times New Roman" w:eastAsia="Times New Roman" w:hAnsi="Times New Roman" w:cs="Times New Roman"/>
          <w:i/>
        </w:rPr>
        <w:t>(Copertura finanziaria)</w:t>
      </w:r>
    </w:p>
    <w:p w14:paraId="0000002F" w14:textId="77777777" w:rsidR="00A90DDD" w:rsidRDefault="00A41CF7">
      <w:pPr>
        <w:spacing w:after="160" w:line="360" w:lineRule="auto"/>
        <w:jc w:val="both"/>
        <w:rPr>
          <w:rFonts w:ascii="Times New Roman" w:eastAsia="Times New Roman" w:hAnsi="Times New Roman" w:cs="Times New Roman"/>
        </w:rPr>
      </w:pPr>
      <w:r>
        <w:rPr>
          <w:rFonts w:ascii="Times New Roman" w:eastAsia="Times New Roman" w:hAnsi="Times New Roman" w:cs="Times New Roman"/>
        </w:rPr>
        <w:t>1. Al fine di sostenere l’erogazione degli indennizzi di cui all’articolo 1, è istituito, nello stato di previsione del Ministero dell'economia e delle finanze, il Fondo nazionale per l’erogazione degli indennizzi spettanti ai passeggeri i cui treni abbiano subito ritardi o cancellazioni, con una dotazione di 20 milioni di euro a decorrere dalla data di entrata in vigore della presente legge.</w:t>
      </w:r>
    </w:p>
    <w:p w14:paraId="00000030" w14:textId="77777777" w:rsidR="00A90DDD" w:rsidRDefault="00A41CF7">
      <w:pPr>
        <w:spacing w:after="160" w:line="360" w:lineRule="auto"/>
        <w:jc w:val="both"/>
        <w:rPr>
          <w:rFonts w:ascii="Times New Roman" w:eastAsia="Times New Roman" w:hAnsi="Times New Roman" w:cs="Times New Roman"/>
        </w:rPr>
      </w:pPr>
      <w:r>
        <w:rPr>
          <w:rFonts w:ascii="Times New Roman" w:eastAsia="Times New Roman" w:hAnsi="Times New Roman" w:cs="Times New Roman"/>
        </w:rPr>
        <w:t xml:space="preserve">2. Agli oneri derivanti dal comma precedente, valutati in 20 milioni di euro annui, a decorrere dalla data di entrata in vigore della presente legge, si provvede mediante corrispondente riduzione del </w:t>
      </w:r>
      <w:r>
        <w:rPr>
          <w:rFonts w:ascii="Times New Roman" w:eastAsia="Times New Roman" w:hAnsi="Times New Roman" w:cs="Times New Roman"/>
        </w:rPr>
        <w:lastRenderedPageBreak/>
        <w:t xml:space="preserve">Fondo per interventi strutturali di politica economica, di cui all’articolo 10, comma 5, del decreto-legge 29 novembre 2004, n. 282, convertito, con modificazioni, dalla legge 27 dicembre 2004, n. 307. </w:t>
      </w:r>
    </w:p>
    <w:p w14:paraId="00000031" w14:textId="77777777" w:rsidR="00A90DDD" w:rsidRDefault="00A90DDD">
      <w:pPr>
        <w:spacing w:after="160" w:line="360" w:lineRule="auto"/>
        <w:jc w:val="both"/>
        <w:rPr>
          <w:rFonts w:ascii="Times New Roman" w:eastAsia="Times New Roman" w:hAnsi="Times New Roman" w:cs="Times New Roman"/>
        </w:rPr>
      </w:pPr>
    </w:p>
    <w:sectPr w:rsidR="00A90DDD">
      <w:pgSz w:w="11906" w:h="16838"/>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Play">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1300A3"/>
    <w:multiLevelType w:val="multilevel"/>
    <w:tmpl w:val="5BBEDEB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779E46A6"/>
    <w:multiLevelType w:val="multilevel"/>
    <w:tmpl w:val="3EB89C8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16cid:durableId="395202625">
    <w:abstractNumId w:val="1"/>
  </w:num>
  <w:num w:numId="2" w16cid:durableId="12655758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0DDD"/>
    <w:rsid w:val="000D1CF1"/>
    <w:rsid w:val="003E36AD"/>
    <w:rsid w:val="00697A24"/>
    <w:rsid w:val="00A41CF7"/>
    <w:rsid w:val="00A90DD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70FACE"/>
  <w15:docId w15:val="{FAEDF593-C4FB-4919-A87F-00E911CEF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ptos" w:eastAsia="Aptos" w:hAnsi="Aptos" w:cs="Aptos"/>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style>
  <w:style w:type="paragraph" w:styleId="Titolo1">
    <w:name w:val="heading 1"/>
    <w:basedOn w:val="Normale"/>
    <w:next w:val="Normale"/>
    <w:pPr>
      <w:keepNext/>
      <w:keepLines/>
      <w:spacing w:before="360" w:after="80"/>
      <w:outlineLvl w:val="0"/>
    </w:pPr>
    <w:rPr>
      <w:rFonts w:ascii="Play" w:eastAsia="Play" w:hAnsi="Play" w:cs="Play"/>
      <w:color w:val="0F4761"/>
      <w:sz w:val="40"/>
      <w:szCs w:val="40"/>
    </w:rPr>
  </w:style>
  <w:style w:type="paragraph" w:styleId="Titolo2">
    <w:name w:val="heading 2"/>
    <w:basedOn w:val="Normale"/>
    <w:next w:val="Normale"/>
    <w:pPr>
      <w:keepNext/>
      <w:keepLines/>
      <w:spacing w:before="160" w:after="80"/>
      <w:outlineLvl w:val="1"/>
    </w:pPr>
    <w:rPr>
      <w:rFonts w:ascii="Play" w:eastAsia="Play" w:hAnsi="Play" w:cs="Play"/>
      <w:color w:val="0F4761"/>
      <w:sz w:val="32"/>
      <w:szCs w:val="32"/>
    </w:rPr>
  </w:style>
  <w:style w:type="paragraph" w:styleId="Titolo3">
    <w:name w:val="heading 3"/>
    <w:basedOn w:val="Normale"/>
    <w:next w:val="Normale"/>
    <w:pPr>
      <w:keepNext/>
      <w:keepLines/>
      <w:spacing w:before="160" w:after="80"/>
      <w:outlineLvl w:val="2"/>
    </w:pPr>
    <w:rPr>
      <w:color w:val="0F4761"/>
      <w:sz w:val="28"/>
      <w:szCs w:val="28"/>
    </w:rPr>
  </w:style>
  <w:style w:type="paragraph" w:styleId="Titolo4">
    <w:name w:val="heading 4"/>
    <w:basedOn w:val="Normale"/>
    <w:next w:val="Normale"/>
    <w:pPr>
      <w:keepNext/>
      <w:keepLines/>
      <w:spacing w:before="80" w:after="40"/>
      <w:outlineLvl w:val="3"/>
    </w:pPr>
    <w:rPr>
      <w:i/>
      <w:color w:val="0F4761"/>
    </w:rPr>
  </w:style>
  <w:style w:type="paragraph" w:styleId="Titolo5">
    <w:name w:val="heading 5"/>
    <w:basedOn w:val="Normale"/>
    <w:next w:val="Normale"/>
    <w:pPr>
      <w:keepNext/>
      <w:keepLines/>
      <w:spacing w:before="80" w:after="40"/>
      <w:outlineLvl w:val="4"/>
    </w:pPr>
    <w:rPr>
      <w:color w:val="0F4761"/>
    </w:rPr>
  </w:style>
  <w:style w:type="paragraph" w:styleId="Titolo6">
    <w:name w:val="heading 6"/>
    <w:basedOn w:val="Normale"/>
    <w:next w:val="Normale"/>
    <w:pPr>
      <w:keepNext/>
      <w:keepLines/>
      <w:spacing w:before="40"/>
      <w:outlineLvl w:val="5"/>
    </w:pPr>
    <w:rPr>
      <w:i/>
      <w:color w:val="595959"/>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olo">
    <w:name w:val="Title"/>
    <w:basedOn w:val="Normale"/>
    <w:next w:val="Normale"/>
    <w:pPr>
      <w:spacing w:after="80"/>
    </w:pPr>
    <w:rPr>
      <w:rFonts w:ascii="Play" w:eastAsia="Play" w:hAnsi="Play" w:cs="Play"/>
      <w:sz w:val="56"/>
      <w:szCs w:val="56"/>
    </w:rPr>
  </w:style>
  <w:style w:type="paragraph" w:styleId="Sottotitolo">
    <w:name w:val="Subtitle"/>
    <w:basedOn w:val="Normale"/>
    <w:next w:val="Normale"/>
    <w:pPr>
      <w:spacing w:after="160"/>
    </w:pPr>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1824</Words>
  <Characters>10398</Characters>
  <Application>Microsoft Office Word</Application>
  <DocSecurity>0</DocSecurity>
  <Lines>86</Lines>
  <Paragraphs>24</Paragraphs>
  <ScaleCrop>false</ScaleCrop>
  <HeadingPairs>
    <vt:vector size="2" baseType="variant">
      <vt:variant>
        <vt:lpstr>Titolo</vt:lpstr>
      </vt:variant>
      <vt:variant>
        <vt:i4>1</vt:i4>
      </vt:variant>
    </vt:vector>
  </HeadingPairs>
  <TitlesOfParts>
    <vt:vector size="1" baseType="lpstr">
      <vt:lpstr/>
    </vt:vector>
  </TitlesOfParts>
  <Company>Cdd</Company>
  <LinksUpToDate>false</LinksUpToDate>
  <CharactersWithSpaces>12198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Agati Federica</dc:creator>
  <cp:lastModifiedBy>Cdd</cp:lastModifiedBy>
  <cp:revision>3</cp:revision>
  <dcterms:created xsi:type="dcterms:W3CDTF">2025-07-15T16:13:00Z</dcterms:created>
  <dcterms:modified xsi:type="dcterms:W3CDTF">2025-07-15T16:18:00Z</dcterms:modified>
</cp:coreProperties>
</file>